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26FCA"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harm</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in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actions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for</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damages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based</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breaches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treaty</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functioning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0" w:name="_Toc487536216"/>
      <w:bookmarkStart w:id="11" w:name="_Toc487536218"/>
      <w:r w:rsidRPr="004436FA">
        <w:rPr>
          <w:rFonts w:ascii="Times New Roman" w:hAnsi="Times New Roman"/>
          <w:color w:val="auto"/>
        </w:rPr>
        <w:t>Общие положения.</w:t>
      </w:r>
      <w:bookmarkEnd w:id="10"/>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1"/>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 xml:space="preserve">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follow-on</w:t>
      </w:r>
      <w:proofErr w:type="spellEnd"/>
      <w:r>
        <w:rPr>
          <w:rFonts w:ascii="Times New Roman" w:hAnsi="Times New Roman"/>
          <w:sz w:val="28"/>
          <w:szCs w:val="28"/>
        </w:rPr>
        <w:t>»-</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w:t>
      </w:r>
      <w:proofErr w:type="gramStart"/>
      <w:r w:rsidRPr="004436FA">
        <w:rPr>
          <w:rFonts w:ascii="Times New Roman" w:hAnsi="Times New Roman"/>
          <w:sz w:val="28"/>
          <w:szCs w:val="28"/>
        </w:rPr>
        <w:t>до</w:t>
      </w:r>
      <w:proofErr w:type="gramEnd"/>
      <w:r w:rsidRPr="004436FA">
        <w:rPr>
          <w:rFonts w:ascii="Times New Roman" w:hAnsi="Times New Roman"/>
          <w:sz w:val="28"/>
          <w:szCs w:val="28"/>
        </w:rPr>
        <w:t xml:space="preserve"> или </w:t>
      </w:r>
      <w:proofErr w:type="gramStart"/>
      <w:r w:rsidRPr="004436FA">
        <w:rPr>
          <w:rFonts w:ascii="Times New Roman" w:hAnsi="Times New Roman"/>
          <w:sz w:val="28"/>
          <w:szCs w:val="28"/>
        </w:rPr>
        <w:t>без</w:t>
      </w:r>
      <w:proofErr w:type="gramEnd"/>
      <w:r w:rsidRPr="004436FA">
        <w:rPr>
          <w:rFonts w:ascii="Times New Roman" w:hAnsi="Times New Roman"/>
          <w:sz w:val="28"/>
          <w:szCs w:val="28"/>
        </w:rPr>
        <w:t xml:space="preserve">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stand-alone</w:t>
      </w:r>
      <w:proofErr w:type="spell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w:t>
      </w:r>
      <w:proofErr w:type="gramStart"/>
      <w:r w:rsidRPr="004436FA">
        <w:rPr>
          <w:rFonts w:ascii="Times New Roman" w:hAnsi="Times New Roman"/>
          <w:sz w:val="28"/>
          <w:szCs w:val="28"/>
        </w:rPr>
        <w:t>.</w:t>
      </w:r>
      <w:proofErr w:type="gramEnd"/>
      <w:r w:rsidRPr="004436FA">
        <w:rPr>
          <w:rFonts w:ascii="Times New Roman" w:hAnsi="Times New Roman"/>
          <w:sz w:val="28"/>
          <w:szCs w:val="28"/>
        </w:rPr>
        <w:t xml:space="preserve"> (</w:t>
      </w:r>
      <w:proofErr w:type="gramStart"/>
      <w:r w:rsidRPr="004436FA">
        <w:rPr>
          <w:rFonts w:ascii="Times New Roman" w:hAnsi="Times New Roman"/>
          <w:sz w:val="28"/>
          <w:szCs w:val="28"/>
        </w:rPr>
        <w:t>р</w:t>
      </w:r>
      <w:proofErr w:type="gramEnd"/>
      <w:r w:rsidRPr="004436FA">
        <w:rPr>
          <w:rFonts w:ascii="Times New Roman" w:hAnsi="Times New Roman"/>
          <w:sz w:val="28"/>
          <w:szCs w:val="28"/>
        </w:rPr>
        <w:t>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г)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w:t>
      </w:r>
      <w:proofErr w:type="spellStart"/>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2" w:name="_Ref405299388"/>
      <w:bookmarkStart w:id="13"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2"/>
      <w:r w:rsidRPr="004436FA">
        <w:rPr>
          <w:rFonts w:ascii="Times New Roman" w:hAnsi="Times New Roman"/>
          <w:color w:val="auto"/>
        </w:rPr>
        <w:t>.</w:t>
      </w:r>
      <w:bookmarkEnd w:id="13"/>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4" w:name="_Ref406682950"/>
      <w:bookmarkStart w:id="15"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4"/>
      <w:r w:rsidRPr="004436FA">
        <w:rPr>
          <w:rFonts w:ascii="Times New Roman" w:hAnsi="Times New Roman"/>
          <w:color w:val="auto"/>
          <w:sz w:val="28"/>
          <w:szCs w:val="28"/>
        </w:rPr>
        <w:t>.</w:t>
      </w:r>
      <w:bookmarkEnd w:id="15"/>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6"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6"/>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7"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8"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19" w:name="sub_100107"/>
      <w:bookmarkStart w:id="20"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1" w:name="sub_100110"/>
      <w:bookmarkEnd w:id="19"/>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1"/>
    <w:p w:rsidR="00DB066E" w:rsidRPr="004436FA" w:rsidRDefault="00DB066E" w:rsidP="00DB066E">
      <w:pPr>
        <w:pStyle w:val="ConsPlusNormal"/>
        <w:numPr>
          <w:ilvl w:val="0"/>
          <w:numId w:val="41"/>
        </w:numPr>
        <w:tabs>
          <w:tab w:val="left" w:pos="851"/>
        </w:tabs>
        <w:ind w:left="0"/>
        <w:jc w:val="both"/>
      </w:pPr>
      <w:r w:rsidRPr="004436FA">
        <w:t xml:space="preserve">манипулирование на </w:t>
      </w:r>
      <w:proofErr w:type="gramStart"/>
      <w:r w:rsidRPr="004436FA">
        <w:t>оптовом</w:t>
      </w:r>
      <w:proofErr w:type="gramEnd"/>
      <w:r w:rsidRPr="004436FA">
        <w:t xml:space="preserve">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2"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3" w:name="sub_110102"/>
      <w:bookmarkEnd w:id="22"/>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3"/>
      <w:bookmarkEnd w:id="23"/>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71122"/>
      <w:bookmarkEnd w:id="24"/>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6" w:name="sub_111220"/>
      <w:bookmarkEnd w:id="25"/>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0"/>
      <w:bookmarkEnd w:id="26"/>
    </w:p>
    <w:p w:rsidR="00DB066E" w:rsidRPr="004436FA" w:rsidRDefault="00DB066E" w:rsidP="00DB066E">
      <w:pPr>
        <w:pStyle w:val="ConsPlusNormal"/>
        <w:numPr>
          <w:ilvl w:val="0"/>
          <w:numId w:val="41"/>
        </w:numPr>
        <w:tabs>
          <w:tab w:val="left" w:pos="851"/>
        </w:tabs>
        <w:ind w:left="0"/>
        <w:jc w:val="both"/>
      </w:pPr>
      <w:proofErr w:type="gramStart"/>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7" w:name="sub_1601"/>
      <w:r w:rsidRPr="004436FA">
        <w:t>повышение или поддержание цен (тарифов)</w:t>
      </w:r>
      <w:bookmarkStart w:id="28" w:name="sub_1602"/>
      <w:bookmarkEnd w:id="27"/>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9" w:name="sub_1603"/>
      <w:bookmarkEnd w:id="28"/>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29"/>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0" w:name="sub_100104"/>
    </w:p>
    <w:p w:rsidR="00DB066E" w:rsidRPr="004436FA" w:rsidRDefault="00DB066E" w:rsidP="00DB066E">
      <w:pPr>
        <w:pStyle w:val="ConsPlusNormal"/>
        <w:numPr>
          <w:ilvl w:val="0"/>
          <w:numId w:val="42"/>
        </w:numPr>
        <w:tabs>
          <w:tab w:val="left" w:pos="851"/>
        </w:tabs>
        <w:ind w:left="0"/>
        <w:jc w:val="both"/>
      </w:pPr>
      <w:bookmarkStart w:id="31" w:name="sub_100105"/>
      <w:bookmarkEnd w:id="30"/>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1"/>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2"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3" w:name="sub_100109"/>
      <w:bookmarkEnd w:id="32"/>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3"/>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4"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5" w:name="sub_171128"/>
      <w:bookmarkEnd w:id="34"/>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5"/>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6"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7" w:name="sub_171143"/>
      <w:r w:rsidRPr="004436FA">
        <w:t xml:space="preserve"> к навязыванию контрагенту условий договора, невыгодных для него или не относящихся к предмету договора </w:t>
      </w:r>
      <w:bookmarkEnd w:id="37"/>
      <w:r w:rsidRPr="004436FA">
        <w:t>(пункт 2 части 3 статьи 11.1 Закона</w:t>
      </w:r>
      <w:r>
        <w:t xml:space="preserve"> о защите конкуренции</w:t>
      </w:r>
      <w:r w:rsidRPr="004436FA">
        <w:t xml:space="preserve">); </w:t>
      </w:r>
      <w:bookmarkEnd w:id="36"/>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8" w:name="_Ref406683353"/>
      <w:bookmarkStart w:id="39" w:name="_Ref438205740"/>
      <w:bookmarkStart w:id="40" w:name="_Ref438205755"/>
      <w:bookmarkStart w:id="41"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8"/>
      <w:r w:rsidRPr="004436FA">
        <w:rPr>
          <w:rFonts w:ascii="Times New Roman" w:hAnsi="Times New Roman"/>
          <w:color w:val="auto"/>
          <w:sz w:val="28"/>
          <w:szCs w:val="28"/>
        </w:rPr>
        <w:t>.</w:t>
      </w:r>
      <w:bookmarkEnd w:id="39"/>
      <w:bookmarkEnd w:id="40"/>
      <w:bookmarkEnd w:id="4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proofErr w:type="spellEnd"/>
      <w:r w:rsidRPr="004436FA">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2" w:name="_Toc487536225"/>
      <w:r w:rsidRPr="004436FA">
        <w:rPr>
          <w:rFonts w:ascii="Times New Roman" w:hAnsi="Times New Roman"/>
          <w:color w:val="auto"/>
          <w:sz w:val="28"/>
          <w:szCs w:val="28"/>
        </w:rPr>
        <w:t>2.2.1. Сравнительный экономический анализ.</w:t>
      </w:r>
      <w:bookmarkEnd w:id="42"/>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3"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3"/>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4" w:name="_Toc487536226"/>
      <w:r w:rsidRPr="004436FA">
        <w:rPr>
          <w:rFonts w:ascii="Times New Roman" w:hAnsi="Times New Roman"/>
          <w:color w:val="auto"/>
          <w:sz w:val="28"/>
          <w:szCs w:val="28"/>
        </w:rPr>
        <w:t>2.2.2. Экономическое и финансовое моделирование.</w:t>
      </w:r>
      <w:bookmarkEnd w:id="44"/>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5" w:name="_Ref404956246"/>
      <w:r w:rsidRPr="004436FA">
        <w:rPr>
          <w:rFonts w:ascii="Times New Roman" w:hAnsi="Times New Roman" w:cs="Times New Roman"/>
          <w:b/>
          <w:sz w:val="28"/>
          <w:szCs w:val="28"/>
        </w:rPr>
        <w:t>Экономическое моделирование</w:t>
      </w:r>
      <w:bookmarkEnd w:id="45"/>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 xml:space="preserve">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6" w:name="_Ref406683446"/>
      <w:bookmarkStart w:id="47"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6"/>
      <w:r w:rsidRPr="004436FA">
        <w:rPr>
          <w:rFonts w:ascii="Times New Roman" w:hAnsi="Times New Roman"/>
          <w:color w:val="auto"/>
          <w:sz w:val="28"/>
          <w:szCs w:val="28"/>
        </w:rPr>
        <w:t>.</w:t>
      </w:r>
      <w:bookmarkEnd w:id="4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8" w:name="_Ref404954119"/>
      <w:bookmarkStart w:id="49"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8"/>
      <w:r w:rsidRPr="004436FA">
        <w:rPr>
          <w:rFonts w:ascii="Times New Roman" w:hAnsi="Times New Roman"/>
          <w:color w:val="auto"/>
        </w:rPr>
        <w:t>.</w:t>
      </w:r>
      <w:bookmarkEnd w:id="4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0" w:name="_Toc487536229"/>
      <w:r w:rsidRPr="004436FA">
        <w:rPr>
          <w:rFonts w:ascii="Times New Roman" w:hAnsi="Times New Roman"/>
          <w:color w:val="auto"/>
          <w:sz w:val="28"/>
          <w:szCs w:val="28"/>
        </w:rPr>
        <w:t>3.1. Введение.</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Ref405562409"/>
      <w:bookmarkStart w:id="52"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1"/>
      <w:r w:rsidRPr="004436FA">
        <w:rPr>
          <w:rFonts w:ascii="Times New Roman" w:hAnsi="Times New Roman"/>
          <w:color w:val="auto"/>
          <w:sz w:val="28"/>
          <w:szCs w:val="28"/>
        </w:rPr>
        <w:t>.</w:t>
      </w:r>
      <w:bookmarkEnd w:id="5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3" w:name="_Toc487536231"/>
      <w:r w:rsidRPr="004436FA">
        <w:rPr>
          <w:rFonts w:ascii="Times New Roman" w:hAnsi="Times New Roman"/>
          <w:color w:val="auto"/>
          <w:sz w:val="28"/>
          <w:szCs w:val="28"/>
        </w:rPr>
        <w:t>3.2.1. Эффект завышенных цен.</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Ref406589540"/>
      <w:bookmarkStart w:id="55" w:name="_Toc487536232"/>
      <w:r w:rsidRPr="004436FA">
        <w:rPr>
          <w:rFonts w:ascii="Times New Roman" w:hAnsi="Times New Roman"/>
          <w:color w:val="auto"/>
          <w:sz w:val="28"/>
          <w:szCs w:val="28"/>
        </w:rPr>
        <w:t>3.2.2. Эффект упущенных объемов</w:t>
      </w:r>
      <w:bookmarkEnd w:id="54"/>
      <w:r w:rsidRPr="004436FA">
        <w:rPr>
          <w:rFonts w:ascii="Times New Roman" w:hAnsi="Times New Roman"/>
          <w:color w:val="auto"/>
          <w:sz w:val="28"/>
          <w:szCs w:val="28"/>
        </w:rPr>
        <w:t>.</w:t>
      </w:r>
      <w:bookmarkEnd w:id="5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6" w:name="_Ref406589586"/>
      <w:bookmarkStart w:id="57" w:name="_Toc487536233"/>
      <w:r w:rsidRPr="004436FA">
        <w:rPr>
          <w:rFonts w:ascii="Times New Roman" w:hAnsi="Times New Roman"/>
          <w:color w:val="auto"/>
          <w:sz w:val="28"/>
          <w:szCs w:val="28"/>
        </w:rPr>
        <w:t>3.2.3. Эффект переноса издержек</w:t>
      </w:r>
      <w:bookmarkEnd w:id="56"/>
      <w:r w:rsidRPr="004436FA">
        <w:rPr>
          <w:rFonts w:ascii="Times New Roman" w:hAnsi="Times New Roman"/>
          <w:color w:val="auto"/>
          <w:sz w:val="28"/>
          <w:szCs w:val="28"/>
        </w:rPr>
        <w:t>.</w:t>
      </w:r>
      <w:bookmarkEnd w:id="5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F26FCA"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13" o:spid="_x0000_s1026" editas="canvas" style="width:274.9pt;height:196.85pt;mso-position-horizontal-relative:char;mso-position-vertical-relative:line" coordsize="34912,24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724;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2750;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17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175;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010;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010;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8" w:name="_Ref406684124"/>
      <w:bookmarkStart w:id="59"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8"/>
      <w:r w:rsidRPr="004436FA">
        <w:rPr>
          <w:rFonts w:ascii="Times New Roman" w:hAnsi="Times New Roman"/>
          <w:color w:val="auto"/>
          <w:sz w:val="28"/>
          <w:szCs w:val="28"/>
        </w:rPr>
        <w:t>.</w:t>
      </w:r>
      <w:bookmarkEnd w:id="5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F26FCA"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2" o:spid="_x0000_s1051" editas="canvas" style="width:501.2pt;height:288.85pt;mso-position-horizontal-relative:char;mso-position-vertical-relative:line" coordsize="63652,36683">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0"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proofErr w:type="gramStart"/>
      <w:r w:rsidRPr="004436FA">
        <w:rPr>
          <w:rFonts w:ascii="Times New Roman" w:hAnsi="Times New Roman" w:cs="Times New Roman"/>
          <w:sz w:val="28"/>
          <w:szCs w:val="28"/>
        </w:rPr>
        <w:t>сверх-прибыль</w:t>
      </w:r>
      <w:proofErr w:type="spellEnd"/>
      <w:proofErr w:type="gram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proofErr w:type="gramStart"/>
      <w:r w:rsidRPr="004436FA">
        <w:rPr>
          <w:rFonts w:ascii="Times New Roman" w:hAnsi="Times New Roman" w:cs="Times New Roman"/>
          <w:sz w:val="28"/>
          <w:szCs w:val="28"/>
          <w:vertAlign w:val="subscript"/>
        </w:rPr>
        <w:t>1</w:t>
      </w:r>
      <w:proofErr w:type="gramEnd"/>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proofErr w:type="gramStart"/>
      <w:r w:rsidRPr="004436FA">
        <w:rPr>
          <w:rFonts w:ascii="Times New Roman" w:hAnsi="Times New Roman" w:cs="Times New Roman"/>
          <w:sz w:val="28"/>
          <w:szCs w:val="28"/>
          <w:vertAlign w:val="subscript"/>
        </w:rPr>
        <w:t>2</w:t>
      </w:r>
      <w:proofErr w:type="gramEnd"/>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2"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1"/>
      <w:r w:rsidRPr="004436FA">
        <w:rPr>
          <w:rFonts w:ascii="Times New Roman" w:hAnsi="Times New Roman"/>
          <w:color w:val="auto"/>
          <w:sz w:val="28"/>
          <w:szCs w:val="28"/>
        </w:rPr>
        <w:t>.</w:t>
      </w:r>
      <w:bookmarkEnd w:id="62"/>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3"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5" w:name="_Toc487536238"/>
      <w:bookmarkEnd w:id="60"/>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5"/>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6" w:name="_Toc487536239"/>
      <w:r w:rsidRPr="004436FA">
        <w:rPr>
          <w:rFonts w:ascii="Times New Roman" w:hAnsi="Times New Roman"/>
          <w:color w:val="auto"/>
          <w:sz w:val="28"/>
          <w:szCs w:val="28"/>
        </w:rPr>
        <w:t>4.1. Введение.</w:t>
      </w:r>
      <w:bookmarkEnd w:id="6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Ref406684785"/>
      <w:bookmarkStart w:id="68" w:name="_Toc487536240"/>
      <w:r w:rsidRPr="004436FA">
        <w:rPr>
          <w:rFonts w:ascii="Times New Roman" w:hAnsi="Times New Roman"/>
          <w:color w:val="auto"/>
          <w:sz w:val="28"/>
          <w:szCs w:val="28"/>
        </w:rPr>
        <w:t>4.2. Оценка убытков для имеющихся конкурентов</w:t>
      </w:r>
      <w:bookmarkEnd w:id="67"/>
      <w:r w:rsidRPr="004436FA">
        <w:rPr>
          <w:rFonts w:ascii="Times New Roman" w:hAnsi="Times New Roman"/>
          <w:color w:val="auto"/>
          <w:sz w:val="28"/>
          <w:szCs w:val="28"/>
        </w:rPr>
        <w:t>.</w:t>
      </w:r>
      <w:bookmarkEnd w:id="6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69"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F26FCA"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8" o:spid="_x0000_s1102" editas="canvas" style="width:222.9pt;height:134pt;mso-position-horizontal-relative:char;mso-position-vertical-relative:line" coordsize="28308,17018">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wrap type="none"/>
            <w10:anchorlock/>
          </v:group>
        </w:pic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0"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0"/>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1" w:name="_Toc487536242"/>
      <w:r w:rsidRPr="004436FA">
        <w:rPr>
          <w:rFonts w:ascii="Times New Roman" w:hAnsi="Times New Roman"/>
          <w:color w:val="auto"/>
          <w:sz w:val="28"/>
          <w:szCs w:val="28"/>
        </w:rPr>
        <w:t>4.3. Оценка убытков для потенциальных конкурентов</w:t>
      </w:r>
      <w:bookmarkEnd w:id="69"/>
      <w:r w:rsidRPr="004436FA">
        <w:rPr>
          <w:rFonts w:ascii="Times New Roman" w:hAnsi="Times New Roman"/>
          <w:color w:val="auto"/>
          <w:sz w:val="28"/>
          <w:szCs w:val="28"/>
        </w:rPr>
        <w:t>.</w:t>
      </w:r>
      <w:bookmarkEnd w:id="71"/>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F26FCA" w:rsidP="00DB066E">
      <w:pPr>
        <w:pStyle w:val="RBBBox"/>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fillcolor="#dbe5f1" stroked="f" strokeweight=".5pt">
            <v:textbox>
              <w:txbxContent>
                <w:tbl>
                  <w:tblPr>
                    <w:tblW w:w="0" w:type="auto"/>
                    <w:jc w:val="center"/>
                    <w:tblBorders>
                      <w:bottom w:val="single" w:sz="4" w:space="0" w:color="000000"/>
                    </w:tblBorders>
                    <w:shd w:val="clear" w:color="auto" w:fill="DBE5F1"/>
                    <w:tblLayout w:type="fixed"/>
                    <w:tblLook w:val="01E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wrap type="none"/>
            <w10:anchorlock/>
          </v:shape>
        </w:pic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2"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3" w:name="_Toc487536243"/>
      <w:r w:rsidRPr="004436FA">
        <w:rPr>
          <w:rFonts w:ascii="Times New Roman" w:hAnsi="Times New Roman"/>
          <w:color w:val="auto"/>
          <w:sz w:val="28"/>
          <w:szCs w:val="28"/>
        </w:rPr>
        <w:lastRenderedPageBreak/>
        <w:t>4.4. Оценка убытков для покупателей</w:t>
      </w:r>
      <w:bookmarkEnd w:id="72"/>
      <w:r w:rsidRPr="004436FA">
        <w:rPr>
          <w:rFonts w:ascii="Times New Roman" w:hAnsi="Times New Roman"/>
          <w:color w:val="auto"/>
          <w:sz w:val="28"/>
          <w:szCs w:val="28"/>
        </w:rPr>
        <w:t>.</w:t>
      </w:r>
      <w:bookmarkEnd w:id="7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bookmarkStart w:id="74" w:name="_GoBack"/>
      <w:bookmarkEnd w:id="74"/>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w:t>
      </w:r>
      <w:proofErr w:type="spellStart"/>
      <w:r w:rsidRPr="0059345A">
        <w:rPr>
          <w:sz w:val="28"/>
          <w:szCs w:val="28"/>
        </w:rPr>
        <w:t>электросетевого</w:t>
      </w:r>
      <w:proofErr w:type="spellEnd"/>
      <w:r w:rsidRPr="0059345A">
        <w:rPr>
          <w:sz w:val="28"/>
          <w:szCs w:val="28"/>
        </w:rPr>
        <w:t xml:space="preserve">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w:t>
      </w:r>
      <w:proofErr w:type="spellStart"/>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w:t>
      </w:r>
      <w:r w:rsidRPr="000E36EB">
        <w:rPr>
          <w:sz w:val="28"/>
          <w:szCs w:val="28"/>
        </w:rPr>
        <w:lastRenderedPageBreak/>
        <w:t>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D3B" w:rsidRDefault="00334D3B" w:rsidP="000B72A0">
      <w:pPr>
        <w:spacing w:after="0" w:line="240" w:lineRule="auto"/>
      </w:pPr>
      <w:r>
        <w:separator/>
      </w:r>
    </w:p>
  </w:endnote>
  <w:endnote w:type="continuationSeparator" w:id="0">
    <w:p w:rsidR="00334D3B" w:rsidRDefault="00334D3B"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sdtPr>
    <w:sdtContent>
      <w:p w:rsidR="009746F9" w:rsidRDefault="00F26FCA">
        <w:pPr>
          <w:pStyle w:val="a6"/>
          <w:jc w:val="center"/>
        </w:pPr>
        <w:r>
          <w:fldChar w:fldCharType="begin"/>
        </w:r>
        <w:r w:rsidR="009746F9">
          <w:instrText>PAGE   \* MERGEFORMAT</w:instrText>
        </w:r>
        <w:r>
          <w:fldChar w:fldCharType="separate"/>
        </w:r>
        <w:r w:rsidR="00144B63">
          <w:rPr>
            <w:noProof/>
          </w:rPr>
          <w:t>2</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D3B" w:rsidRDefault="00334D3B" w:rsidP="000B72A0">
      <w:pPr>
        <w:spacing w:after="0" w:line="240" w:lineRule="auto"/>
      </w:pPr>
      <w:r>
        <w:separator/>
      </w:r>
    </w:p>
  </w:footnote>
  <w:footnote w:type="continuationSeparator" w:id="0">
    <w:p w:rsidR="00334D3B" w:rsidRDefault="00334D3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Econometric</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Cross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Section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and</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Panel</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w:t>
      </w:r>
      <w:proofErr w:type="spellStart"/>
      <w:r w:rsidRPr="00D306B5">
        <w:rPr>
          <w:rFonts w:ascii="Times New Roman" w:hAnsi="Times New Roman"/>
          <w:sz w:val="18"/>
          <w:szCs w:val="18"/>
        </w:rPr>
        <w:t>edition</w:t>
      </w:r>
      <w:proofErr w:type="spellEnd"/>
      <w:r w:rsidRPr="00D306B5">
        <w:rPr>
          <w:rFonts w:ascii="Times New Roman" w:hAnsi="Times New Roman"/>
          <w:sz w:val="18"/>
          <w:szCs w:val="18"/>
        </w:rPr>
        <w:t xml:space="preserve">,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in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models</w:t>
      </w:r>
      <w:proofErr w:type="spellEnd"/>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proofErr w:type="spellEnd"/>
      <w:r w:rsidRPr="00D306B5">
        <w:rPr>
          <w:rFonts w:ascii="Times New Roman" w:hAnsi="Times New Roman"/>
          <w:i/>
          <w:sz w:val="18"/>
          <w:szCs w:val="18"/>
        </w:rPr>
        <w:t xml:space="preserve"> </w:t>
      </w:r>
      <w:r w:rsidRPr="00D306B5">
        <w:rPr>
          <w:rFonts w:ascii="Times New Roman" w:hAnsi="Times New Roman"/>
          <w:sz w:val="18"/>
          <w:szCs w:val="18"/>
        </w:rPr>
        <w:t>и</w:t>
      </w:r>
      <w:r w:rsidRPr="00D306B5">
        <w:rPr>
          <w:rFonts w:ascii="Times New Roman" w:hAnsi="Times New Roman"/>
          <w:i/>
          <w:sz w:val="18"/>
          <w:szCs w:val="18"/>
        </w:rPr>
        <w:t xml:space="preserve"> </w:t>
      </w:r>
      <w:proofErr w:type="spellStart"/>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i/>
          <w:sz w:val="18"/>
          <w:szCs w:val="18"/>
        </w:rPr>
        <w:t>.</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w:t>
      </w:r>
      <w:r w:rsidRPr="00D306B5">
        <w:rPr>
          <w:rFonts w:ascii="Times New Roman" w:hAnsi="Times New Roman"/>
          <w:i/>
          <w:sz w:val="18"/>
          <w:szCs w:val="18"/>
        </w:rPr>
        <w:t xml:space="preserve"> </w:t>
      </w:r>
      <w:proofErr w:type="spellStart"/>
      <w:r w:rsidRPr="00D306B5">
        <w:rPr>
          <w:rFonts w:ascii="Times New Roman" w:hAnsi="Times New Roman"/>
          <w:i/>
          <w:sz w:val="18"/>
          <w:szCs w:val="18"/>
        </w:rPr>
        <w:t>volume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i/>
          <w:sz w:val="18"/>
          <w:szCs w:val="18"/>
        </w:rPr>
        <w:t xml:space="preserve"> </w:t>
      </w:r>
      <w:r w:rsidRPr="00D306B5">
        <w:rPr>
          <w:rFonts w:ascii="Times New Roman" w:hAnsi="Times New Roman"/>
          <w:sz w:val="18"/>
          <w:szCs w:val="18"/>
        </w:rPr>
        <w:t xml:space="preserve">и </w:t>
      </w:r>
      <w:proofErr w:type="spellStart"/>
      <w:r w:rsidRPr="00D306B5">
        <w:rPr>
          <w:rFonts w:ascii="Times New Roman" w:hAnsi="Times New Roman"/>
          <w:i/>
          <w:sz w:val="18"/>
          <w:szCs w:val="18"/>
        </w:rPr>
        <w:t>pass-on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w:t>
      </w:r>
      <w:proofErr w:type="spellStart"/>
      <w:r w:rsidRPr="005D22E1">
        <w:rPr>
          <w:rFonts w:ascii="Times New Roman" w:hAnsi="Times New Roman"/>
          <w:sz w:val="18"/>
          <w:szCs w:val="18"/>
          <w:lang w:val="en-US"/>
        </w:rPr>
        <w:t>Mas-Colell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loss</w:t>
      </w:r>
      <w:proofErr w:type="spellEnd"/>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44B63"/>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26FCA"/>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rules v:ext="edit">
        <o:r id="V:Rule1" type="connector" idref="#Straight Arrow Connector 77"/>
        <o:r id="V:Rule2" type="connector" idref="#Straight Arrow Connector 78"/>
        <o:r id="V:Rule3" type="connector" idref="#Straight Arrow Connector 110"/>
        <o:r id="V:Rule4" type="connector" idref="#Straight Arrow Connector 3"/>
        <o:r id="V:Rule5" type="connector" idref="#Straight Arrow Connector 5"/>
        <o:r id="V:Rule6" type="connector" idref="#Straight Arrow Connector 45"/>
        <o:r id="V:Rule7" type="connector" idref="#Straight Arrow Connector 46"/>
        <o:r id="V:Rule8" type="connector" idref="#Straight Arrow Connector 24"/>
        <o:r id="V:Rule9" type="connector" idref="#Straight Arrow Connector 30"/>
        <o:r id="V:Rule10" type="connector" idref="#Straight Arrow Connector 41"/>
        <o:r id="V:Rule11"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A"/>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9.9328207739600707</c:v>
                </c:pt>
                <c:pt idx="1">
                  <c:v>9.5458922467342546</c:v>
                </c:pt>
                <c:pt idx="2">
                  <c:v>10.92713552349662</c:v>
                </c:pt>
                <c:pt idx="3">
                  <c:v>9.7200699588860537</c:v>
                </c:pt>
                <c:pt idx="4">
                  <c:v>10.091020198336931</c:v>
                </c:pt>
                <c:pt idx="5">
                  <c:v>8.7807823699860705</c:v>
                </c:pt>
                <c:pt idx="6">
                  <c:v>14.63031919276926</c:v>
                </c:pt>
                <c:pt idx="7">
                  <c:v>13.961977922799068</c:v>
                </c:pt>
                <c:pt idx="8">
                  <c:v>13.363416514102578</c:v>
                </c:pt>
                <c:pt idx="9">
                  <c:v>16.179835643506831</c:v>
                </c:pt>
              </c:numCache>
            </c:numRef>
          </c:val>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er>
        <c:dLbls/>
        <c:marker val="1"/>
        <c:axId val="96713344"/>
        <c:axId val="96805248"/>
      </c:lineChart>
      <c:catAx>
        <c:axId val="96713344"/>
        <c:scaling>
          <c:orientation val="minMax"/>
        </c:scaling>
        <c:axPos val="b"/>
        <c:numFmt formatCode="General" sourceLinked="1"/>
        <c:tickLblPos val="nextTo"/>
        <c:txPr>
          <a:bodyPr rot="-2700000"/>
          <a:lstStyle/>
          <a:p>
            <a:pPr>
              <a:defRPr/>
            </a:pPr>
            <a:endParaRPr lang="ru-RU"/>
          </a:p>
        </c:txPr>
        <c:crossAx val="96805248"/>
        <c:crosses val="autoZero"/>
        <c:auto val="1"/>
        <c:lblAlgn val="ctr"/>
        <c:lblOffset val="100"/>
        <c:tickLblSkip val="1"/>
      </c:catAx>
      <c:valAx>
        <c:axId val="96805248"/>
        <c:scaling>
          <c:orientation val="minMax"/>
          <c:min val="6"/>
        </c:scaling>
        <c:axPos val="l"/>
        <c:majorGridlines/>
        <c:numFmt formatCode="General" sourceLinked="1"/>
        <c:tickLblPos val="nextTo"/>
        <c:crossAx val="96713344"/>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15.777306460135112</c:v>
                </c:pt>
                <c:pt idx="6">
                  <c:v>16.982767339237057</c:v>
                </c:pt>
                <c:pt idx="7">
                  <c:v>12</c:v>
                </c:pt>
                <c:pt idx="8">
                  <c:v>12.485833759474966</c:v>
                </c:pt>
                <c:pt idx="9">
                  <c:v>11.450420529041278</c:v>
                </c:pt>
              </c:numCache>
            </c:numRef>
          </c:val>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er>
        <c:dLbls/>
        <c:marker val="1"/>
        <c:axId val="96814592"/>
        <c:axId val="96816128"/>
      </c:lineChart>
      <c:catAx>
        <c:axId val="96814592"/>
        <c:scaling>
          <c:orientation val="minMax"/>
        </c:scaling>
        <c:axPos val="b"/>
        <c:numFmt formatCode="General" sourceLinked="1"/>
        <c:tickLblPos val="nextTo"/>
        <c:txPr>
          <a:bodyPr rot="-2700000"/>
          <a:lstStyle/>
          <a:p>
            <a:pPr>
              <a:defRPr/>
            </a:pPr>
            <a:endParaRPr lang="ru-RU"/>
          </a:p>
        </c:txPr>
        <c:crossAx val="96816128"/>
        <c:crosses val="autoZero"/>
        <c:auto val="1"/>
        <c:lblAlgn val="ctr"/>
        <c:lblOffset val="100"/>
      </c:catAx>
      <c:valAx>
        <c:axId val="96816128"/>
        <c:scaling>
          <c:orientation val="minMax"/>
          <c:min val="6"/>
        </c:scaling>
        <c:axPos val="l"/>
        <c:majorGridlines/>
        <c:numFmt formatCode="General" sourceLinked="1"/>
        <c:tickLblPos val="nextTo"/>
        <c:crossAx val="96814592"/>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13.066544239771174</c:v>
                </c:pt>
                <c:pt idx="4">
                  <c:v>16.780509012841176</c:v>
                </c:pt>
                <c:pt idx="5">
                  <c:v>13.324860275430037</c:v>
                </c:pt>
                <c:pt idx="6">
                  <c:v>12.983080250356776</c:v>
                </c:pt>
                <c:pt idx="7">
                  <c:v>15.990957823758</c:v>
                </c:pt>
                <c:pt idx="8">
                  <c:v>11.751867013728567</c:v>
                </c:pt>
                <c:pt idx="9">
                  <c:v>12.41845963737917</c:v>
                </c:pt>
              </c:numCache>
            </c:numRef>
          </c:val>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13.066544239771174</c:v>
                </c:pt>
                <c:pt idx="4">
                  <c:v>11.969204721208802</c:v>
                </c:pt>
                <c:pt idx="5">
                  <c:v>10.375487589905619</c:v>
                </c:pt>
                <c:pt idx="6">
                  <c:v>10.633198381973152</c:v>
                </c:pt>
                <c:pt idx="7">
                  <c:v>12.032078923975748</c:v>
                </c:pt>
                <c:pt idx="8">
                  <c:v>11.751867013728567</c:v>
                </c:pt>
              </c:numCache>
            </c:numRef>
          </c:val>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11.066544239771174</c:v>
                </c:pt>
                <c:pt idx="4">
                  <c:v>9.9692047212088024</c:v>
                </c:pt>
                <c:pt idx="5">
                  <c:v>8.3754875899056156</c:v>
                </c:pt>
                <c:pt idx="6">
                  <c:v>8.6331983819731501</c:v>
                </c:pt>
                <c:pt idx="7">
                  <c:v>10.032078923975748</c:v>
                </c:pt>
                <c:pt idx="8">
                  <c:v>9.7518670137285675</c:v>
                </c:pt>
                <c:pt idx="9">
                  <c:v>10.41845963737917</c:v>
                </c:pt>
              </c:numCache>
            </c:numRef>
          </c:val>
        </c:ser>
        <c:dLbls/>
        <c:marker val="1"/>
        <c:axId val="96785536"/>
        <c:axId val="96787072"/>
      </c:lineChart>
      <c:catAx>
        <c:axId val="96785536"/>
        <c:scaling>
          <c:orientation val="minMax"/>
        </c:scaling>
        <c:axPos val="b"/>
        <c:numFmt formatCode="General" sourceLinked="1"/>
        <c:tickLblPos val="nextTo"/>
        <c:crossAx val="96787072"/>
        <c:crosses val="autoZero"/>
        <c:auto val="1"/>
        <c:lblAlgn val="ctr"/>
        <c:lblOffset val="100"/>
      </c:catAx>
      <c:valAx>
        <c:axId val="96787072"/>
        <c:scaling>
          <c:orientation val="minMax"/>
          <c:min val="6"/>
        </c:scaling>
        <c:axPos val="l"/>
        <c:majorGridlines/>
        <c:numFmt formatCode="General" sourceLinked="1"/>
        <c:tickLblPos val="nextTo"/>
        <c:crossAx val="96785536"/>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55"/>
          <c:h val="0.56158425925925859"/>
        </c:manualLayout>
      </c:layout>
      <c:lineChart>
        <c:grouping val="standard"/>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0.11428571428571448</c:v>
                </c:pt>
                <c:pt idx="8">
                  <c:v>0.12857142857142884</c:v>
                </c:pt>
                <c:pt idx="9">
                  <c:v>0.14285714285714324</c:v>
                </c:pt>
                <c:pt idx="10">
                  <c:v>0.15714285714285742</c:v>
                </c:pt>
                <c:pt idx="11">
                  <c:v>0.17142857142857137</c:v>
                </c:pt>
                <c:pt idx="12">
                  <c:v>0.18571428571428619</c:v>
                </c:pt>
                <c:pt idx="13">
                  <c:v>0.2</c:v>
                </c:pt>
                <c:pt idx="14">
                  <c:v>0.2</c:v>
                </c:pt>
              </c:numCache>
            </c:numRef>
          </c:val>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dLbls/>
        <c:marker val="1"/>
        <c:axId val="97501952"/>
        <c:axId val="97503488"/>
      </c:lineChart>
      <c:scatterChart>
        <c:scatterStyle val="lineMarker"/>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er>
        <c:dLbls/>
        <c:axId val="97505280"/>
        <c:axId val="97506816"/>
      </c:scatterChart>
      <c:catAx>
        <c:axId val="97501952"/>
        <c:scaling>
          <c:orientation val="minMax"/>
        </c:scaling>
        <c:axPos val="b"/>
        <c:numFmt formatCode="General" sourceLinked="1"/>
        <c:tickLblPos val="nextTo"/>
        <c:crossAx val="97503488"/>
        <c:crosses val="autoZero"/>
        <c:auto val="1"/>
        <c:lblAlgn val="ctr"/>
        <c:lblOffset val="100"/>
        <c:tickMarkSkip val="3"/>
      </c:catAx>
      <c:valAx>
        <c:axId val="97503488"/>
        <c:scaling>
          <c:orientation val="minMax"/>
          <c:max val="0.27"/>
          <c:min val="0"/>
        </c:scaling>
        <c:axPos val="l"/>
        <c:majorGridlines/>
        <c:numFmt formatCode="0%" sourceLinked="0"/>
        <c:tickLblPos val="nextTo"/>
        <c:crossAx val="97501952"/>
        <c:crosses val="autoZero"/>
        <c:crossBetween val="midCat"/>
        <c:majorUnit val="0.1"/>
      </c:valAx>
      <c:valAx>
        <c:axId val="97505280"/>
        <c:scaling>
          <c:orientation val="minMax"/>
        </c:scaling>
        <c:delete val="1"/>
        <c:axPos val="t"/>
        <c:numFmt formatCode="General" sourceLinked="1"/>
        <c:tickLblPos val="none"/>
        <c:crossAx val="97506816"/>
        <c:crosses val="max"/>
        <c:crossBetween val="midCat"/>
      </c:valAx>
      <c:valAx>
        <c:axId val="97506816"/>
        <c:scaling>
          <c:orientation val="minMax"/>
        </c:scaling>
        <c:delete val="1"/>
        <c:axPos val="r"/>
        <c:numFmt formatCode="General" sourceLinked="1"/>
        <c:tickLblPos val="none"/>
        <c:crossAx val="97505280"/>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55"/>
          <c:h val="0.56158425925925859"/>
        </c:manualLayout>
      </c:layout>
      <c:areaChart>
        <c:grouping val="stacked"/>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0.11428571428571448</c:v>
                </c:pt>
                <c:pt idx="8">
                  <c:v>0.12857142857142884</c:v>
                </c:pt>
                <c:pt idx="9">
                  <c:v>0.14285714285714324</c:v>
                </c:pt>
                <c:pt idx="10">
                  <c:v>0.15714285714285742</c:v>
                </c:pt>
                <c:pt idx="11">
                  <c:v>0.17142857142857137</c:v>
                </c:pt>
                <c:pt idx="12">
                  <c:v>0.18571428571428619</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7.0332472368717355E-2</c:v>
                </c:pt>
                <c:pt idx="5">
                  <c:v>9.3810520483460072E-2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axId val="101719040"/>
        <c:axId val="101729024"/>
      </c:areaChart>
      <c:lineChart>
        <c:grouping val="standard"/>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0.11428571428571448</c:v>
                </c:pt>
                <c:pt idx="8">
                  <c:v>0.12857142857142884</c:v>
                </c:pt>
                <c:pt idx="9">
                  <c:v>0.14285714285714324</c:v>
                </c:pt>
                <c:pt idx="10">
                  <c:v>0.15714285714285742</c:v>
                </c:pt>
                <c:pt idx="11">
                  <c:v>0.17142857142857137</c:v>
                </c:pt>
                <c:pt idx="12">
                  <c:v>0.18571428571428619</c:v>
                </c:pt>
                <c:pt idx="13">
                  <c:v>0.2</c:v>
                </c:pt>
                <c:pt idx="14">
                  <c:v>0.2</c:v>
                </c:pt>
              </c:numCache>
            </c:numRef>
          </c:val>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dLbls/>
        <c:marker val="1"/>
        <c:axId val="101719040"/>
        <c:axId val="101729024"/>
      </c:lineChart>
      <c:scatterChart>
        <c:scatterStyle val="lineMarker"/>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er>
        <c:dLbls/>
        <c:axId val="101730560"/>
        <c:axId val="101736448"/>
      </c:scatterChart>
      <c:catAx>
        <c:axId val="101719040"/>
        <c:scaling>
          <c:orientation val="minMax"/>
        </c:scaling>
        <c:axPos val="b"/>
        <c:numFmt formatCode="General" sourceLinked="1"/>
        <c:tickLblPos val="nextTo"/>
        <c:crossAx val="101729024"/>
        <c:crosses val="autoZero"/>
        <c:auto val="1"/>
        <c:lblAlgn val="ctr"/>
        <c:lblOffset val="100"/>
        <c:tickMarkSkip val="3"/>
      </c:catAx>
      <c:valAx>
        <c:axId val="101729024"/>
        <c:scaling>
          <c:orientation val="minMax"/>
          <c:max val="0.27"/>
          <c:min val="0"/>
        </c:scaling>
        <c:axPos val="l"/>
        <c:majorGridlines/>
        <c:numFmt formatCode="General" sourceLinked="1"/>
        <c:tickLblPos val="none"/>
        <c:crossAx val="101719040"/>
        <c:crosses val="autoZero"/>
        <c:crossBetween val="midCat"/>
        <c:majorUnit val="0.1"/>
      </c:valAx>
      <c:valAx>
        <c:axId val="101730560"/>
        <c:scaling>
          <c:orientation val="minMax"/>
        </c:scaling>
        <c:delete val="1"/>
        <c:axPos val="t"/>
        <c:numFmt formatCode="General" sourceLinked="1"/>
        <c:tickLblPos val="none"/>
        <c:crossAx val="101736448"/>
        <c:crosses val="max"/>
        <c:crossBetween val="midCat"/>
      </c:valAx>
      <c:valAx>
        <c:axId val="101736448"/>
        <c:scaling>
          <c:orientation val="minMax"/>
        </c:scaling>
        <c:delete val="1"/>
        <c:axPos val="r"/>
        <c:numFmt formatCode="General" sourceLinked="1"/>
        <c:tickLblPos val="none"/>
        <c:crossAx val="101730560"/>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lineChart>
        <c:grouping val="standard"/>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er>
        <c:dLbls/>
        <c:marker val="1"/>
        <c:axId val="101682176"/>
        <c:axId val="101864192"/>
      </c:lineChart>
      <c:scatterChart>
        <c:scatterStyle val="lineMarker"/>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er>
        <c:dLbls/>
        <c:axId val="101892096"/>
        <c:axId val="101865728"/>
      </c:scatterChart>
      <c:catAx>
        <c:axId val="101682176"/>
        <c:scaling>
          <c:orientation val="minMax"/>
        </c:scaling>
        <c:axPos val="b"/>
        <c:numFmt formatCode="General" sourceLinked="1"/>
        <c:tickLblPos val="nextTo"/>
        <c:crossAx val="101864192"/>
        <c:crosses val="autoZero"/>
        <c:auto val="1"/>
        <c:lblAlgn val="ctr"/>
        <c:lblOffset val="100"/>
        <c:tickMarkSkip val="3"/>
      </c:catAx>
      <c:valAx>
        <c:axId val="101864192"/>
        <c:scaling>
          <c:orientation val="minMax"/>
          <c:max val="130"/>
          <c:min val="0"/>
        </c:scaling>
        <c:axPos val="l"/>
        <c:majorGridlines/>
        <c:numFmt formatCode="#,##0_);\(#,##0\)" sourceLinked="0"/>
        <c:tickLblPos val="nextTo"/>
        <c:crossAx val="101682176"/>
        <c:crosses val="autoZero"/>
        <c:crossBetween val="midCat"/>
        <c:majorUnit val="20"/>
      </c:valAx>
      <c:valAx>
        <c:axId val="101865728"/>
        <c:scaling>
          <c:orientation val="minMax"/>
        </c:scaling>
        <c:delete val="1"/>
        <c:axPos val="r"/>
        <c:numFmt formatCode="General" sourceLinked="1"/>
        <c:tickLblPos val="none"/>
        <c:crossAx val="101892096"/>
        <c:crosses val="max"/>
        <c:crossBetween val="midCat"/>
      </c:valAx>
      <c:valAx>
        <c:axId val="101892096"/>
        <c:scaling>
          <c:orientation val="minMax"/>
        </c:scaling>
        <c:delete val="1"/>
        <c:axPos val="t"/>
        <c:numFmt formatCode="General" sourceLinked="1"/>
        <c:tickLblPos val="none"/>
        <c:crossAx val="101865728"/>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areaChart>
        <c:grouping val="stacked"/>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axId val="101910400"/>
        <c:axId val="101908864"/>
      </c:areaChart>
      <c:lineChart>
        <c:grouping val="standard"/>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er>
        <c:dLbls/>
        <c:marker val="1"/>
        <c:axId val="102098048"/>
        <c:axId val="102099584"/>
      </c:lineChart>
      <c:scatterChart>
        <c:scatterStyle val="lineMarker"/>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er>
        <c:dLbls/>
        <c:axId val="101910400"/>
        <c:axId val="101908864"/>
      </c:scatterChart>
      <c:catAx>
        <c:axId val="102098048"/>
        <c:scaling>
          <c:orientation val="minMax"/>
        </c:scaling>
        <c:axPos val="b"/>
        <c:numFmt formatCode="General" sourceLinked="1"/>
        <c:tickLblPos val="nextTo"/>
        <c:crossAx val="102099584"/>
        <c:crosses val="autoZero"/>
        <c:auto val="1"/>
        <c:lblAlgn val="ctr"/>
        <c:lblOffset val="100"/>
        <c:tickMarkSkip val="3"/>
      </c:catAx>
      <c:valAx>
        <c:axId val="102099584"/>
        <c:scaling>
          <c:orientation val="minMax"/>
          <c:max val="130"/>
          <c:min val="0"/>
        </c:scaling>
        <c:axPos val="l"/>
        <c:majorGridlines/>
        <c:numFmt formatCode="#,##0_);\(#,##0\)" sourceLinked="0"/>
        <c:tickLblPos val="nextTo"/>
        <c:crossAx val="102098048"/>
        <c:crosses val="autoZero"/>
        <c:crossBetween val="between"/>
        <c:majorUnit val="20"/>
      </c:valAx>
      <c:valAx>
        <c:axId val="101908864"/>
        <c:scaling>
          <c:orientation val="minMax"/>
        </c:scaling>
        <c:delete val="1"/>
        <c:axPos val="r"/>
        <c:numFmt formatCode="General" sourceLinked="1"/>
        <c:tickLblPos val="none"/>
        <c:crossAx val="101910400"/>
        <c:crosses val="max"/>
        <c:crossBetween val="between"/>
      </c:valAx>
      <c:catAx>
        <c:axId val="101910400"/>
        <c:scaling>
          <c:orientation val="minMax"/>
        </c:scaling>
        <c:delete val="1"/>
        <c:axPos val="t"/>
        <c:numFmt formatCode="General" sourceLinked="1"/>
        <c:tickLblPos val="none"/>
        <c:crossAx val="101908864"/>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lineChart>
        <c:grouping val="standard"/>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er>
        <c:dLbls/>
        <c:marker val="1"/>
        <c:axId val="102117376"/>
        <c:axId val="102118912"/>
      </c:lineChart>
      <c:scatterChart>
        <c:scatterStyle val="lineMarker"/>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er>
        <c:dLbls/>
        <c:axId val="102122240"/>
        <c:axId val="102120448"/>
      </c:scatterChart>
      <c:catAx>
        <c:axId val="102117376"/>
        <c:scaling>
          <c:orientation val="minMax"/>
        </c:scaling>
        <c:axPos val="b"/>
        <c:numFmt formatCode="General" sourceLinked="1"/>
        <c:tickLblPos val="nextTo"/>
        <c:crossAx val="102118912"/>
        <c:crosses val="autoZero"/>
        <c:auto val="1"/>
        <c:lblAlgn val="ctr"/>
        <c:lblOffset val="100"/>
        <c:tickMarkSkip val="3"/>
      </c:catAx>
      <c:valAx>
        <c:axId val="102118912"/>
        <c:scaling>
          <c:orientation val="minMax"/>
          <c:max val="0.55000000000000004"/>
          <c:min val="0"/>
        </c:scaling>
        <c:axPos val="l"/>
        <c:majorGridlines/>
        <c:numFmt formatCode="0%" sourceLinked="0"/>
        <c:tickLblPos val="nextTo"/>
        <c:crossAx val="102117376"/>
        <c:crosses val="autoZero"/>
        <c:crossBetween val="midCat"/>
        <c:majorUnit val="0.2"/>
      </c:valAx>
      <c:valAx>
        <c:axId val="102120448"/>
        <c:scaling>
          <c:orientation val="minMax"/>
        </c:scaling>
        <c:delete val="1"/>
        <c:axPos val="r"/>
        <c:numFmt formatCode="General" sourceLinked="1"/>
        <c:tickLblPos val="none"/>
        <c:crossAx val="102122240"/>
        <c:crosses val="max"/>
        <c:crossBetween val="midCat"/>
      </c:valAx>
      <c:valAx>
        <c:axId val="102122240"/>
        <c:scaling>
          <c:orientation val="minMax"/>
        </c:scaling>
        <c:delete val="1"/>
        <c:axPos val="t"/>
        <c:numFmt formatCode="General" sourceLinked="1"/>
        <c:tickLblPos val="none"/>
        <c:crossAx val="102120448"/>
        <c:crosses val="max"/>
        <c:crossBetween val="midCat"/>
      </c:valAx>
      <c:spPr>
        <a:solidFill>
          <a:schemeClr val="bg1">
            <a:lumMod val="85000"/>
          </a:schemeClr>
        </a:solidFill>
      </c:spPr>
    </c:plotArea>
    <c:legend>
      <c:legendPos val="b"/>
      <c:legendEntry>
        <c:idx val="2"/>
        <c:delete val="1"/>
      </c:legendEntry>
      <c:legendEntry>
        <c:idx val="3"/>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77"/>
          <c:h val="0.56158425925925926"/>
        </c:manualLayout>
      </c:layout>
      <c:areaChart>
        <c:grouping val="stacked"/>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axId val="102299136"/>
        <c:axId val="102297600"/>
      </c:areaChart>
      <c:lineChart>
        <c:grouping val="standard"/>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er>
        <c:dLbls/>
        <c:marker val="1"/>
        <c:axId val="102277888"/>
        <c:axId val="102279424"/>
      </c:lineChart>
      <c:scatterChart>
        <c:scatterStyle val="lineMarker"/>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er>
        <c:dLbls/>
        <c:axId val="102299136"/>
        <c:axId val="102297600"/>
      </c:scatterChart>
      <c:catAx>
        <c:axId val="102277888"/>
        <c:scaling>
          <c:orientation val="minMax"/>
        </c:scaling>
        <c:axPos val="b"/>
        <c:numFmt formatCode="General" sourceLinked="1"/>
        <c:tickLblPos val="nextTo"/>
        <c:crossAx val="102279424"/>
        <c:crosses val="autoZero"/>
        <c:auto val="1"/>
        <c:lblAlgn val="ctr"/>
        <c:lblOffset val="100"/>
        <c:tickMarkSkip val="3"/>
      </c:catAx>
      <c:valAx>
        <c:axId val="102279424"/>
        <c:scaling>
          <c:orientation val="minMax"/>
          <c:max val="140"/>
          <c:min val="0"/>
        </c:scaling>
        <c:axPos val="l"/>
        <c:majorGridlines/>
        <c:numFmt formatCode="#,##0_);\(#,##0\)" sourceLinked="0"/>
        <c:tickLblPos val="nextTo"/>
        <c:crossAx val="102277888"/>
        <c:crosses val="autoZero"/>
        <c:crossBetween val="between"/>
        <c:majorUnit val="50"/>
      </c:valAx>
      <c:valAx>
        <c:axId val="102297600"/>
        <c:scaling>
          <c:orientation val="minMax"/>
        </c:scaling>
        <c:delete val="1"/>
        <c:axPos val="r"/>
        <c:numFmt formatCode="General" sourceLinked="1"/>
        <c:tickLblPos val="none"/>
        <c:crossAx val="102299136"/>
        <c:crosses val="max"/>
        <c:crossBetween val="between"/>
      </c:valAx>
      <c:catAx>
        <c:axId val="102299136"/>
        <c:scaling>
          <c:orientation val="minMax"/>
        </c:scaling>
        <c:delete val="1"/>
        <c:axPos val="t"/>
        <c:numFmt formatCode="General" sourceLinked="1"/>
        <c:tickLblPos val="none"/>
        <c:crossAx val="102297600"/>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1F66-FB2F-45B3-95A5-7079C96D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197</Pages>
  <Words>73836</Words>
  <Characters>420870</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to78-maryina</cp:lastModifiedBy>
  <cp:revision>2</cp:revision>
  <cp:lastPrinted>2017-05-30T15:02:00Z</cp:lastPrinted>
  <dcterms:created xsi:type="dcterms:W3CDTF">2017-12-27T10:06:00Z</dcterms:created>
  <dcterms:modified xsi:type="dcterms:W3CDTF">2017-12-27T10:06:00Z</dcterms:modified>
</cp:coreProperties>
</file>